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09E77">
      <w:pPr>
        <w:jc w:val="center"/>
        <w:rPr>
          <w:rFonts w:ascii="楷体" w:hAnsi="楷体" w:eastAsia="楷体"/>
          <w:b/>
          <w:sz w:val="52"/>
        </w:rPr>
      </w:pPr>
      <w:bookmarkStart w:id="0" w:name="_GoBack"/>
      <w:bookmarkEnd w:id="0"/>
    </w:p>
    <w:p w14:paraId="4FE142B9">
      <w:pPr>
        <w:jc w:val="center"/>
        <w:rPr>
          <w:rFonts w:ascii="楷体" w:hAnsi="楷体" w:eastAsia="楷体"/>
          <w:b/>
          <w:sz w:val="52"/>
        </w:rPr>
      </w:pPr>
    </w:p>
    <w:p w14:paraId="6F16DBAF">
      <w:pPr>
        <w:jc w:val="center"/>
        <w:rPr>
          <w:rFonts w:ascii="楷体" w:hAnsi="楷体" w:eastAsia="楷体"/>
          <w:b/>
          <w:sz w:val="52"/>
        </w:rPr>
      </w:pPr>
    </w:p>
    <w:p w14:paraId="0A36A6DA">
      <w:pPr>
        <w:jc w:val="center"/>
        <w:rPr>
          <w:rFonts w:ascii="楷体" w:hAnsi="楷体" w:eastAsia="楷体"/>
          <w:b/>
          <w:sz w:val="52"/>
        </w:rPr>
      </w:pPr>
    </w:p>
    <w:p w14:paraId="1120F02A">
      <w:pPr>
        <w:jc w:val="center"/>
        <w:rPr>
          <w:rFonts w:ascii="楷体" w:hAnsi="楷体" w:eastAsia="楷体"/>
          <w:b/>
          <w:sz w:val="52"/>
        </w:rPr>
      </w:pPr>
    </w:p>
    <w:p w14:paraId="1320A466">
      <w:pPr>
        <w:jc w:val="center"/>
        <w:rPr>
          <w:rFonts w:ascii="楷体" w:hAnsi="楷体" w:eastAsia="楷体"/>
          <w:b/>
          <w:sz w:val="52"/>
        </w:rPr>
      </w:pPr>
      <w:r>
        <w:rPr>
          <w:rFonts w:hint="eastAsia" w:ascii="楷体" w:hAnsi="楷体" w:eastAsia="楷体"/>
          <w:b/>
          <w:sz w:val="52"/>
        </w:rPr>
        <w:t>沈阳市浑南区财政事务服务中心</w:t>
      </w:r>
    </w:p>
    <w:p w14:paraId="77F10CF4">
      <w:pPr>
        <w:jc w:val="center"/>
        <w:rPr>
          <w:rFonts w:ascii="楷体" w:hAnsi="楷体" w:eastAsia="楷体"/>
          <w:b/>
          <w:sz w:val="52"/>
        </w:rPr>
      </w:pPr>
      <w:r>
        <w:rPr>
          <w:rFonts w:hint="eastAsia" w:ascii="楷体" w:hAnsi="楷体" w:eastAsia="楷体"/>
          <w:b/>
          <w:sz w:val="52"/>
        </w:rPr>
        <w:t>2020年部门预算</w:t>
      </w:r>
    </w:p>
    <w:p w14:paraId="7E855FE2">
      <w:pPr>
        <w:jc w:val="center"/>
        <w:rPr>
          <w:b/>
          <w:sz w:val="44"/>
          <w:szCs w:val="44"/>
          <w:u w:val="single"/>
        </w:rPr>
      </w:pPr>
      <w:r>
        <w:rPr>
          <w:rFonts w:hint="eastAsia" w:ascii="楷体" w:hAnsi="楷体" w:eastAsia="楷体"/>
          <w:b/>
          <w:sz w:val="52"/>
        </w:rPr>
        <w:t>（含“三公”经费预算）</w:t>
      </w:r>
    </w:p>
    <w:p w14:paraId="53F48B31">
      <w:pPr>
        <w:jc w:val="center"/>
        <w:rPr>
          <w:b/>
          <w:sz w:val="44"/>
          <w:szCs w:val="44"/>
          <w:u w:val="single"/>
        </w:rPr>
      </w:pPr>
    </w:p>
    <w:p w14:paraId="73926B4A">
      <w:pPr>
        <w:jc w:val="center"/>
        <w:rPr>
          <w:b/>
          <w:sz w:val="44"/>
          <w:szCs w:val="44"/>
          <w:u w:val="single"/>
        </w:rPr>
      </w:pPr>
    </w:p>
    <w:p w14:paraId="697AA3A4">
      <w:pPr>
        <w:jc w:val="center"/>
        <w:rPr>
          <w:b/>
          <w:sz w:val="44"/>
          <w:szCs w:val="44"/>
          <w:u w:val="single"/>
        </w:rPr>
      </w:pPr>
    </w:p>
    <w:p w14:paraId="34EF53C6">
      <w:pPr>
        <w:jc w:val="center"/>
        <w:rPr>
          <w:b/>
          <w:sz w:val="44"/>
          <w:szCs w:val="44"/>
          <w:u w:val="single"/>
        </w:rPr>
      </w:pPr>
    </w:p>
    <w:p w14:paraId="4F081FD8">
      <w:pPr>
        <w:jc w:val="center"/>
        <w:rPr>
          <w:b/>
          <w:sz w:val="44"/>
          <w:szCs w:val="44"/>
          <w:u w:val="single"/>
        </w:rPr>
      </w:pPr>
    </w:p>
    <w:p w14:paraId="63E2B43F">
      <w:pPr>
        <w:jc w:val="center"/>
        <w:rPr>
          <w:b/>
          <w:sz w:val="44"/>
          <w:szCs w:val="44"/>
          <w:u w:val="single"/>
        </w:rPr>
      </w:pPr>
    </w:p>
    <w:p w14:paraId="4E631C89">
      <w:pPr>
        <w:jc w:val="center"/>
        <w:rPr>
          <w:b/>
          <w:sz w:val="44"/>
          <w:szCs w:val="44"/>
          <w:u w:val="single"/>
        </w:rPr>
      </w:pPr>
    </w:p>
    <w:p w14:paraId="7D9CDEC6">
      <w:pPr>
        <w:jc w:val="center"/>
        <w:rPr>
          <w:b/>
          <w:sz w:val="44"/>
          <w:szCs w:val="44"/>
          <w:u w:val="single"/>
        </w:rPr>
      </w:pPr>
    </w:p>
    <w:p w14:paraId="14FFAED3">
      <w:pPr>
        <w:jc w:val="center"/>
        <w:rPr>
          <w:b/>
          <w:sz w:val="44"/>
          <w:szCs w:val="44"/>
          <w:u w:val="single"/>
        </w:rPr>
      </w:pPr>
    </w:p>
    <w:p w14:paraId="20D63821">
      <w:pPr>
        <w:jc w:val="center"/>
        <w:rPr>
          <w:b/>
          <w:sz w:val="44"/>
          <w:szCs w:val="44"/>
          <w:u w:val="single"/>
        </w:rPr>
      </w:pPr>
    </w:p>
    <w:p w14:paraId="6058A81F">
      <w:pPr>
        <w:jc w:val="center"/>
        <w:rPr>
          <w:b/>
          <w:sz w:val="44"/>
          <w:szCs w:val="44"/>
        </w:rPr>
      </w:pPr>
    </w:p>
    <w:p w14:paraId="00475407">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14:paraId="3D3EAD5F">
      <w:pPr>
        <w:rPr>
          <w:b/>
          <w:sz w:val="44"/>
          <w:szCs w:val="44"/>
          <w:u w:val="single"/>
        </w:rPr>
      </w:pPr>
    </w:p>
    <w:p w14:paraId="50F5A78A">
      <w:pPr>
        <w:rPr>
          <w:b/>
          <w:sz w:val="44"/>
          <w:szCs w:val="44"/>
          <w:u w:val="single"/>
        </w:rPr>
      </w:pPr>
    </w:p>
    <w:p w14:paraId="3286F770">
      <w:pPr>
        <w:ind w:firstLine="640" w:firstLineChars="200"/>
        <w:rPr>
          <w:rFonts w:ascii="黑体" w:hAnsi="黑体" w:eastAsia="黑体"/>
          <w:sz w:val="32"/>
          <w:szCs w:val="32"/>
        </w:rPr>
      </w:pPr>
      <w:r>
        <w:rPr>
          <w:rFonts w:hint="eastAsia" w:ascii="黑体" w:hAnsi="黑体" w:eastAsia="黑体"/>
          <w:sz w:val="32"/>
          <w:szCs w:val="32"/>
        </w:rPr>
        <w:t>第一部分  沈阳市浑南区财政财政事务服务中心概况</w:t>
      </w:r>
    </w:p>
    <w:p w14:paraId="38CA6F96">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14:paraId="3F7B3BDF">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14:paraId="0C983EB8">
      <w:pPr>
        <w:ind w:firstLine="480" w:firstLineChars="150"/>
        <w:rPr>
          <w:rFonts w:ascii="黑体" w:hAnsi="黑体" w:eastAsia="黑体"/>
          <w:sz w:val="32"/>
          <w:szCs w:val="32"/>
        </w:rPr>
      </w:pPr>
      <w:r>
        <w:rPr>
          <w:rFonts w:hint="eastAsia" w:ascii="黑体" w:hAnsi="黑体" w:eastAsia="黑体"/>
          <w:sz w:val="32"/>
          <w:szCs w:val="32"/>
        </w:rPr>
        <w:t>第二部分  沈阳市浑南区财政事务服务中心2020年部门预算公开表</w:t>
      </w:r>
    </w:p>
    <w:p w14:paraId="6C69F0B9">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表1、部门收支总表</w:t>
      </w:r>
    </w:p>
    <w:p w14:paraId="1F64D319">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表2、部门收入总表</w:t>
      </w:r>
    </w:p>
    <w:p w14:paraId="37D2364C">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表3、部门支出总表</w:t>
      </w:r>
    </w:p>
    <w:p w14:paraId="019D0F6D">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表4、财政拨款收支总表</w:t>
      </w:r>
    </w:p>
    <w:p w14:paraId="1E51F3AA">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表5、一般公共预算支出表</w:t>
      </w:r>
    </w:p>
    <w:p w14:paraId="15F8D47A">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表6、预算内财力支出预算表</w:t>
      </w:r>
    </w:p>
    <w:p w14:paraId="09216F93">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表7、一般公共预算基本支出表</w:t>
      </w:r>
    </w:p>
    <w:p w14:paraId="57E8B635">
      <w:pPr>
        <w:ind w:firstLine="480" w:firstLineChars="150"/>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表8、政府性基金预算支出表</w:t>
      </w:r>
    </w:p>
    <w:p w14:paraId="7330304C">
      <w:pPr>
        <w:ind w:firstLine="480" w:firstLineChars="150"/>
        <w:rPr>
          <w:rFonts w:ascii="仿宋_GB2312" w:hAnsi="黑体" w:eastAsia="仿宋_GB2312"/>
          <w:sz w:val="32"/>
          <w:szCs w:val="32"/>
        </w:rPr>
      </w:pPr>
      <w:r>
        <w:rPr>
          <w:rFonts w:hint="eastAsia" w:ascii="仿宋_GB2312" w:hAnsi="黑体" w:eastAsia="仿宋_GB2312"/>
          <w:color w:val="000000" w:themeColor="text1"/>
          <w:sz w:val="32"/>
          <w:szCs w:val="32"/>
        </w:rPr>
        <w:t>表9</w:t>
      </w:r>
      <w:r>
        <w:rPr>
          <w:rFonts w:hint="eastAsia" w:ascii="仿宋_GB2312" w:hAnsi="黑体" w:eastAsia="仿宋_GB2312"/>
          <w:sz w:val="32"/>
          <w:szCs w:val="32"/>
        </w:rPr>
        <w:t>、财政拨款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26EBE897">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hint="eastAsia" w:ascii="仿宋_GB2312" w:hAnsi="黑体" w:eastAsia="仿宋_GB2312"/>
          <w:color w:val="000000" w:themeColor="text1"/>
          <w:sz w:val="32"/>
          <w:szCs w:val="32"/>
        </w:rPr>
        <w:t>10</w:t>
      </w:r>
      <w:r>
        <w:rPr>
          <w:rFonts w:hint="eastAsia" w:ascii="仿宋_GB2312" w:hAnsi="黑体" w:eastAsia="仿宋_GB2312"/>
          <w:sz w:val="32"/>
          <w:szCs w:val="32"/>
        </w:rPr>
        <w:t>、部门预算项目支出表</w:t>
      </w:r>
    </w:p>
    <w:p w14:paraId="34A4332C">
      <w:pPr>
        <w:ind w:firstLine="480" w:firstLineChars="150"/>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495FB15F">
      <w:pPr>
        <w:ind w:firstLine="480" w:firstLineChars="150"/>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44B7D317">
      <w:pPr>
        <w:ind w:firstLine="320" w:firstLineChars="100"/>
        <w:rPr>
          <w:rFonts w:ascii="黑体" w:hAnsi="黑体" w:eastAsia="黑体"/>
          <w:sz w:val="32"/>
          <w:szCs w:val="32"/>
        </w:rPr>
      </w:pPr>
      <w:r>
        <w:rPr>
          <w:rFonts w:hint="eastAsia" w:ascii="黑体" w:hAnsi="黑体" w:eastAsia="黑体"/>
          <w:sz w:val="32"/>
          <w:szCs w:val="32"/>
        </w:rPr>
        <w:t>第三部分 沈阳市浑南区财政事务服务中心2020年部门预算情况说明</w:t>
      </w:r>
    </w:p>
    <w:p w14:paraId="16CCDC43">
      <w:pPr>
        <w:ind w:firstLine="320" w:firstLineChars="100"/>
        <w:rPr>
          <w:rFonts w:ascii="黑体" w:hAnsi="黑体" w:eastAsia="黑体"/>
          <w:sz w:val="32"/>
          <w:szCs w:val="32"/>
        </w:rPr>
      </w:pPr>
      <w:r>
        <w:rPr>
          <w:rFonts w:hint="eastAsia" w:ascii="黑体" w:hAnsi="黑体" w:eastAsia="黑体"/>
          <w:sz w:val="32"/>
          <w:szCs w:val="32"/>
        </w:rPr>
        <w:t>第四部分  名词解释</w:t>
      </w:r>
    </w:p>
    <w:p w14:paraId="70DE6001">
      <w:pPr>
        <w:jc w:val="center"/>
        <w:rPr>
          <w:rFonts w:ascii="黑体" w:hAnsi="黑体" w:eastAsia="黑体"/>
          <w:b/>
          <w:sz w:val="44"/>
          <w:szCs w:val="44"/>
          <w:u w:val="single"/>
        </w:rPr>
      </w:pPr>
    </w:p>
    <w:p w14:paraId="5653F839">
      <w:pPr>
        <w:jc w:val="center"/>
        <w:rPr>
          <w:rFonts w:ascii="黑体" w:hAnsi="黑体" w:eastAsia="黑体"/>
          <w:b/>
          <w:sz w:val="44"/>
          <w:szCs w:val="44"/>
          <w:u w:val="single"/>
        </w:rPr>
      </w:pPr>
    </w:p>
    <w:p w14:paraId="0FA92B9A">
      <w:pPr>
        <w:jc w:val="center"/>
        <w:rPr>
          <w:rFonts w:ascii="黑体" w:hAnsi="黑体" w:eastAsia="黑体"/>
          <w:b/>
          <w:sz w:val="44"/>
          <w:szCs w:val="44"/>
          <w:u w:val="single"/>
        </w:rPr>
      </w:pPr>
    </w:p>
    <w:p w14:paraId="7EA14B31">
      <w:pPr>
        <w:jc w:val="center"/>
        <w:rPr>
          <w:rFonts w:ascii="黑体" w:hAnsi="黑体" w:eastAsia="黑体"/>
          <w:b/>
          <w:sz w:val="44"/>
          <w:szCs w:val="44"/>
          <w:u w:val="single"/>
        </w:rPr>
      </w:pPr>
    </w:p>
    <w:p w14:paraId="2572C904">
      <w:pPr>
        <w:jc w:val="center"/>
        <w:rPr>
          <w:rFonts w:ascii="黑体" w:hAnsi="黑体" w:eastAsia="黑体"/>
          <w:b/>
          <w:sz w:val="44"/>
          <w:szCs w:val="44"/>
          <w:u w:val="single"/>
        </w:rPr>
      </w:pPr>
    </w:p>
    <w:p w14:paraId="3269C907">
      <w:pPr>
        <w:jc w:val="center"/>
        <w:rPr>
          <w:rFonts w:ascii="黑体" w:hAnsi="黑体" w:eastAsia="黑体"/>
          <w:b/>
          <w:sz w:val="44"/>
          <w:szCs w:val="44"/>
          <w:u w:val="single"/>
        </w:rPr>
      </w:pPr>
    </w:p>
    <w:p w14:paraId="138D7B06">
      <w:pPr>
        <w:jc w:val="center"/>
        <w:rPr>
          <w:rFonts w:ascii="黑体" w:hAnsi="黑体" w:eastAsia="黑体"/>
          <w:b/>
          <w:sz w:val="44"/>
          <w:szCs w:val="44"/>
          <w:u w:val="single"/>
        </w:rPr>
      </w:pPr>
    </w:p>
    <w:p w14:paraId="3AAC2715">
      <w:pPr>
        <w:jc w:val="center"/>
        <w:rPr>
          <w:rFonts w:ascii="黑体" w:hAnsi="黑体" w:eastAsia="黑体"/>
          <w:b/>
          <w:sz w:val="44"/>
          <w:szCs w:val="44"/>
          <w:u w:val="single"/>
        </w:rPr>
      </w:pPr>
    </w:p>
    <w:p w14:paraId="50AC9715">
      <w:pPr>
        <w:jc w:val="center"/>
        <w:rPr>
          <w:rFonts w:ascii="黑体" w:hAnsi="黑体" w:eastAsia="黑体"/>
          <w:b/>
          <w:sz w:val="44"/>
          <w:szCs w:val="44"/>
          <w:u w:val="single"/>
        </w:rPr>
      </w:pPr>
    </w:p>
    <w:p w14:paraId="0B915694">
      <w:pPr>
        <w:jc w:val="center"/>
        <w:rPr>
          <w:rFonts w:ascii="黑体" w:hAnsi="黑体" w:eastAsia="黑体"/>
          <w:b/>
          <w:sz w:val="44"/>
          <w:szCs w:val="44"/>
          <w:u w:val="single"/>
        </w:rPr>
      </w:pPr>
    </w:p>
    <w:p w14:paraId="41AE8C4A">
      <w:pPr>
        <w:jc w:val="center"/>
        <w:rPr>
          <w:rFonts w:ascii="黑体" w:hAnsi="黑体" w:eastAsia="黑体"/>
          <w:b/>
          <w:sz w:val="44"/>
          <w:szCs w:val="44"/>
          <w:u w:val="single"/>
        </w:rPr>
      </w:pPr>
    </w:p>
    <w:p w14:paraId="4B5DCBC9">
      <w:pPr>
        <w:jc w:val="center"/>
        <w:rPr>
          <w:rFonts w:ascii="黑体" w:hAnsi="黑体" w:eastAsia="黑体"/>
          <w:b/>
          <w:sz w:val="44"/>
          <w:szCs w:val="44"/>
          <w:u w:val="single"/>
        </w:rPr>
      </w:pPr>
    </w:p>
    <w:p w14:paraId="235C5ADF">
      <w:pPr>
        <w:jc w:val="center"/>
        <w:rPr>
          <w:rFonts w:ascii="黑体" w:hAnsi="黑体" w:eastAsia="黑体"/>
          <w:b/>
          <w:sz w:val="44"/>
          <w:szCs w:val="44"/>
          <w:u w:val="single"/>
        </w:rPr>
      </w:pPr>
    </w:p>
    <w:p w14:paraId="4068EDFA">
      <w:pPr>
        <w:jc w:val="center"/>
        <w:rPr>
          <w:rFonts w:ascii="黑体" w:hAnsi="黑体" w:eastAsia="黑体"/>
          <w:b/>
          <w:sz w:val="44"/>
          <w:szCs w:val="44"/>
          <w:u w:val="single"/>
        </w:rPr>
      </w:pPr>
    </w:p>
    <w:p w14:paraId="41E4297D">
      <w:pPr>
        <w:jc w:val="center"/>
        <w:rPr>
          <w:rFonts w:ascii="黑体" w:hAnsi="黑体" w:eastAsia="黑体"/>
          <w:b/>
          <w:sz w:val="44"/>
          <w:szCs w:val="44"/>
          <w:u w:val="single"/>
        </w:rPr>
      </w:pPr>
    </w:p>
    <w:p w14:paraId="01BBD379">
      <w:pPr>
        <w:jc w:val="center"/>
        <w:rPr>
          <w:rFonts w:ascii="黑体" w:hAnsi="黑体" w:eastAsia="黑体"/>
          <w:b/>
          <w:sz w:val="44"/>
          <w:szCs w:val="44"/>
          <w:u w:val="single"/>
        </w:rPr>
      </w:pPr>
    </w:p>
    <w:p w14:paraId="243BEBAC">
      <w:pPr>
        <w:jc w:val="center"/>
        <w:rPr>
          <w:rFonts w:ascii="黑体" w:hAnsi="黑体" w:eastAsia="黑体"/>
          <w:b/>
          <w:sz w:val="44"/>
          <w:szCs w:val="44"/>
          <w:u w:val="single"/>
        </w:rPr>
      </w:pPr>
    </w:p>
    <w:p w14:paraId="2471709D">
      <w:pPr>
        <w:jc w:val="center"/>
        <w:rPr>
          <w:rFonts w:ascii="黑体" w:hAnsi="黑体" w:eastAsia="黑体"/>
          <w:b/>
          <w:sz w:val="44"/>
          <w:szCs w:val="44"/>
          <w:u w:val="single"/>
        </w:rPr>
      </w:pPr>
    </w:p>
    <w:p w14:paraId="5D532BFD">
      <w:pPr>
        <w:jc w:val="center"/>
        <w:rPr>
          <w:rFonts w:ascii="黑体" w:hAnsi="黑体" w:eastAsia="黑体"/>
          <w:b/>
          <w:sz w:val="44"/>
          <w:szCs w:val="44"/>
          <w:u w:val="single"/>
        </w:rPr>
      </w:pPr>
    </w:p>
    <w:p w14:paraId="76A2C020">
      <w:pPr>
        <w:jc w:val="center"/>
        <w:rPr>
          <w:rFonts w:ascii="黑体" w:hAnsi="黑体" w:eastAsia="黑体"/>
          <w:b/>
          <w:sz w:val="44"/>
          <w:szCs w:val="44"/>
          <w:u w:val="single"/>
        </w:rPr>
      </w:pPr>
    </w:p>
    <w:p w14:paraId="208E266E">
      <w:pPr>
        <w:rPr>
          <w:rFonts w:ascii="宋体" w:hAnsi="宋体"/>
          <w:b/>
          <w:sz w:val="36"/>
          <w:szCs w:val="36"/>
        </w:rPr>
      </w:pPr>
    </w:p>
    <w:p w14:paraId="04CF5515">
      <w:pPr>
        <w:pStyle w:val="2"/>
        <w:spacing w:line="600" w:lineRule="exact"/>
        <w:jc w:val="center"/>
        <w:rPr>
          <w:rFonts w:ascii="宋体" w:hAnsi="宋体" w:eastAsia="宋体"/>
          <w:b/>
          <w:bCs/>
          <w:sz w:val="36"/>
          <w:szCs w:val="36"/>
        </w:rPr>
      </w:pPr>
      <w:r>
        <w:rPr>
          <w:rFonts w:hint="eastAsia" w:ascii="宋体" w:hAnsi="宋体" w:eastAsia="宋体"/>
          <w:b/>
          <w:sz w:val="36"/>
          <w:szCs w:val="36"/>
        </w:rPr>
        <w:t>第一部分  浑南区财政事务服务中心</w:t>
      </w:r>
      <w:r>
        <w:rPr>
          <w:rFonts w:hint="eastAsia" w:ascii="宋体" w:hAnsi="宋体" w:eastAsia="宋体"/>
          <w:b/>
          <w:bCs/>
          <w:sz w:val="36"/>
          <w:szCs w:val="36"/>
        </w:rPr>
        <w:t>主要职责</w:t>
      </w:r>
    </w:p>
    <w:p w14:paraId="1D2657DF">
      <w:pPr>
        <w:autoSpaceDN w:val="0"/>
        <w:rPr>
          <w:rFonts w:ascii="仿宋_GB2312" w:hAnsi="仿宋_GB2312" w:eastAsia="仿宋_GB2312" w:cs="仿宋_GB2312"/>
          <w:sz w:val="32"/>
          <w:szCs w:val="32"/>
        </w:rPr>
      </w:pPr>
    </w:p>
    <w:p w14:paraId="744CBF6F">
      <w:pPr>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对区政府出资参股的各类基金进行归口管理和业务指导，确保国有资产有效利用和保值增值。按照区委、区政府的工作安排，拟订促进全区金融业发展的有关政策、法规措施及管理办法等，并组织实施。承接省、市金融办多层次资本市场建设相关工作，负责区内企业上市工作的统筹规划，拟订推进企业上市工作的政策、措施，协调相关部门落实企业上市专项扶持资金的使用计划。贯彻落实国家及省、市关于PPP项目要求和政策，组织协调各部门做好区内PPP项目的规划、实施等工作。</w:t>
      </w:r>
    </w:p>
    <w:p w14:paraId="377530C2">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宣传推介出台支持企业发展的金融政策，做好中小微企业服务平台的运营和管理工作。与银行等各类金融机构协调配合，做好风险资金池项下及其他创新金融产品的推广对接，为区内企业提供全方位的金融服务。协助区财政局做好地方性债务系统内、外债务的管理及地债置换工作，做好区内债务资金使用的协调工作。负责金融以及类金融机构的引进和招商工作。负责区内互联网金融机构的管理和核查工作，维护驻区小贷公司和融资性担保公司的日常监督管理工作。负责金融办营商环境建设工作。协助金融创新科PPP工作。</w:t>
      </w:r>
    </w:p>
    <w:p w14:paraId="2164971B">
      <w:pPr>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3、</w:t>
      </w:r>
      <w:r>
        <w:rPr>
          <w:rFonts w:hint="eastAsia" w:ascii="仿宋" w:hAnsi="仿宋" w:eastAsia="仿宋"/>
          <w:color w:val="000000"/>
          <w:sz w:val="32"/>
          <w:szCs w:val="32"/>
        </w:rPr>
        <w:t>公共资源交易中心负责受理政府采购项目委托（集中采购目录内），编制项目采购文件，编制和发布采购信息公告，负责组织项目开评标及采购文件归档等工作。负责交易平台管理，统筹安排评标场地，组织专家抽取及管理，负责电子评标档案及监控资料的归档管理等工作。负责信息平台日常维护，负责电子评标过程中技术支持，负责电子评标系统、监控系统建设及维护，负责投标及履约保证金集中管理等工作。</w:t>
      </w:r>
    </w:p>
    <w:p w14:paraId="268E1088">
      <w:pPr>
        <w:ind w:firstLine="640" w:firstLineChars="200"/>
        <w:rPr>
          <w:rFonts w:ascii="仿宋" w:hAnsi="仿宋" w:eastAsia="仿宋" w:cs="宋体"/>
          <w:color w:val="000000"/>
          <w:kern w:val="0"/>
          <w:sz w:val="32"/>
          <w:szCs w:val="32"/>
        </w:rPr>
      </w:pPr>
      <w:r>
        <w:rPr>
          <w:rFonts w:hint="eastAsia" w:ascii="仿宋" w:hAnsi="仿宋" w:eastAsia="仿宋" w:cs="仿宋_GB2312"/>
          <w:color w:val="000000"/>
          <w:sz w:val="32"/>
          <w:szCs w:val="32"/>
        </w:rPr>
        <w:t>4、负责浑南区行政事业单位预算资金的收支核算和业务处理及监督管理：</w:t>
      </w:r>
      <w:r>
        <w:rPr>
          <w:rFonts w:ascii="仿宋" w:hAnsi="仿宋" w:eastAsia="仿宋" w:cs="宋体"/>
          <w:color w:val="000000"/>
          <w:kern w:val="0"/>
          <w:sz w:val="32"/>
          <w:szCs w:val="32"/>
        </w:rPr>
        <w:t>一是配合国库部门开展国库集中支付工作；二是财政资金支付审核及会计核算工作；三是协助财政国库部门对非税收入进行收缴管理；四是协助财政国库管理部门对财政收付机构系统内部进行监督检查。</w:t>
      </w:r>
    </w:p>
    <w:p w14:paraId="64A34988">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5、沈抚核算中心负责沈抚管委会及其所属实行会计核算的事业单位的会计核算工作。</w:t>
      </w:r>
    </w:p>
    <w:p w14:paraId="22D621F0">
      <w:pPr>
        <w:ind w:firstLine="648"/>
        <w:rPr>
          <w:rFonts w:ascii="仿宋" w:hAnsi="仿宋" w:eastAsia="仿宋"/>
          <w:color w:val="000000"/>
          <w:sz w:val="32"/>
          <w:szCs w:val="32"/>
        </w:rPr>
      </w:pPr>
      <w:r>
        <w:rPr>
          <w:rFonts w:hint="eastAsia" w:ascii="仿宋" w:hAnsi="仿宋" w:eastAsia="仿宋"/>
          <w:color w:val="000000"/>
          <w:sz w:val="32"/>
          <w:szCs w:val="32"/>
        </w:rPr>
        <w:t>6、浑南区基本建设工程预决算审核中心</w:t>
      </w:r>
      <w:r>
        <w:rPr>
          <w:rFonts w:ascii="仿宋" w:hAnsi="仿宋" w:eastAsia="仿宋"/>
          <w:color w:val="000000"/>
          <w:sz w:val="32"/>
          <w:szCs w:val="32"/>
        </w:rPr>
        <w:t>承担</w:t>
      </w:r>
      <w:r>
        <w:rPr>
          <w:rFonts w:hint="eastAsia" w:ascii="仿宋" w:hAnsi="仿宋" w:eastAsia="仿宋"/>
          <w:color w:val="000000"/>
          <w:sz w:val="32"/>
          <w:szCs w:val="32"/>
        </w:rPr>
        <w:t>审核各类工程预决算、编制各类建筑工程标底、审核工程承包合同、提供各类工程预决算咨询服务等</w:t>
      </w:r>
      <w:r>
        <w:rPr>
          <w:rFonts w:ascii="仿宋" w:hAnsi="仿宋" w:eastAsia="仿宋"/>
          <w:color w:val="000000"/>
          <w:sz w:val="32"/>
          <w:szCs w:val="32"/>
        </w:rPr>
        <w:t>职能。</w:t>
      </w:r>
    </w:p>
    <w:p w14:paraId="63084184">
      <w:pPr>
        <w:ind w:firstLine="648"/>
        <w:rPr>
          <w:rFonts w:ascii="仿宋" w:hAnsi="仿宋" w:eastAsia="仿宋"/>
          <w:color w:val="000000"/>
          <w:sz w:val="32"/>
          <w:szCs w:val="32"/>
        </w:rPr>
      </w:pPr>
      <w:r>
        <w:rPr>
          <w:rFonts w:hint="eastAsia" w:ascii="仿宋" w:hAnsi="仿宋" w:eastAsia="仿宋"/>
          <w:color w:val="000000"/>
          <w:sz w:val="32"/>
          <w:szCs w:val="32"/>
        </w:rPr>
        <w:t>7、财源建设办公室</w:t>
      </w:r>
      <w:r>
        <w:rPr>
          <w:rFonts w:ascii="仿宋" w:hAnsi="仿宋" w:eastAsia="仿宋"/>
          <w:color w:val="000000"/>
          <w:sz w:val="32"/>
          <w:szCs w:val="32"/>
        </w:rPr>
        <w:t>承担</w:t>
      </w:r>
      <w:r>
        <w:rPr>
          <w:rFonts w:hint="eastAsia" w:ascii="仿宋" w:hAnsi="仿宋" w:eastAsia="仿宋"/>
          <w:color w:val="000000"/>
          <w:sz w:val="32"/>
          <w:szCs w:val="32"/>
        </w:rPr>
        <w:t>乡镇财政决算、乡镇贴息项目管理、乡镇财源建设指导及负责清理回收财政信用资金等</w:t>
      </w:r>
      <w:r>
        <w:rPr>
          <w:rFonts w:ascii="仿宋" w:hAnsi="仿宋" w:eastAsia="仿宋"/>
          <w:color w:val="000000"/>
          <w:sz w:val="32"/>
          <w:szCs w:val="32"/>
        </w:rPr>
        <w:t>职能。</w:t>
      </w:r>
    </w:p>
    <w:p w14:paraId="233A6D20">
      <w:pPr>
        <w:ind w:firstLine="648"/>
        <w:rPr>
          <w:rFonts w:ascii="仿宋" w:hAnsi="仿宋" w:eastAsia="仿宋"/>
          <w:color w:val="000000"/>
          <w:sz w:val="32"/>
          <w:szCs w:val="32"/>
        </w:rPr>
      </w:pPr>
      <w:r>
        <w:rPr>
          <w:rFonts w:hint="eastAsia" w:ascii="仿宋" w:hAnsi="仿宋" w:eastAsia="仿宋"/>
          <w:color w:val="000000"/>
          <w:sz w:val="32"/>
          <w:szCs w:val="32"/>
        </w:rPr>
        <w:t>8、社会保障资金管理中心</w:t>
      </w:r>
      <w:r>
        <w:rPr>
          <w:rFonts w:ascii="仿宋" w:hAnsi="仿宋" w:eastAsia="仿宋"/>
          <w:color w:val="000000"/>
          <w:sz w:val="32"/>
          <w:szCs w:val="32"/>
        </w:rPr>
        <w:t>承担</w:t>
      </w:r>
      <w:r>
        <w:rPr>
          <w:rFonts w:hint="eastAsia" w:ascii="仿宋" w:hAnsi="仿宋" w:eastAsia="仿宋"/>
          <w:color w:val="000000"/>
          <w:sz w:val="32"/>
          <w:szCs w:val="32"/>
        </w:rPr>
        <w:t>对浑南区养老金的管理。核算表浑南区企业、事业单位养老金的收入；安排浑南区企业、事业单位养老金支出等</w:t>
      </w:r>
      <w:r>
        <w:rPr>
          <w:rFonts w:ascii="仿宋" w:hAnsi="仿宋" w:eastAsia="仿宋"/>
          <w:color w:val="000000"/>
          <w:sz w:val="32"/>
          <w:szCs w:val="32"/>
        </w:rPr>
        <w:t>职能。</w:t>
      </w:r>
    </w:p>
    <w:p w14:paraId="27D0BF66">
      <w:pPr>
        <w:ind w:firstLine="648"/>
        <w:rPr>
          <w:rFonts w:ascii="仿宋" w:hAnsi="仿宋" w:eastAsia="仿宋"/>
          <w:sz w:val="32"/>
          <w:szCs w:val="32"/>
        </w:rPr>
      </w:pPr>
      <w:r>
        <w:rPr>
          <w:rFonts w:hint="eastAsia" w:ascii="仿宋" w:hAnsi="仿宋" w:eastAsia="仿宋"/>
          <w:color w:val="000000"/>
          <w:sz w:val="32"/>
          <w:szCs w:val="32"/>
        </w:rPr>
        <w:t>9、承担区委、区政府交办的其他事项。</w:t>
      </w:r>
    </w:p>
    <w:p w14:paraId="13B71FD9">
      <w:pPr>
        <w:ind w:firstLine="640" w:firstLineChars="200"/>
        <w:jc w:val="left"/>
        <w:rPr>
          <w:rFonts w:ascii="黑体" w:eastAsia="黑体"/>
          <w:sz w:val="32"/>
          <w:szCs w:val="32"/>
        </w:rPr>
      </w:pPr>
      <w:r>
        <w:rPr>
          <w:rFonts w:hint="eastAsia" w:ascii="黑体" w:eastAsia="黑体"/>
          <w:sz w:val="32"/>
          <w:szCs w:val="32"/>
        </w:rPr>
        <w:t>二、部门预算单位构成</w:t>
      </w:r>
    </w:p>
    <w:p w14:paraId="2AF8D5B7">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纳入沈阳市浑南区财政事务服务中心2020年部门预算编制范围的预算单位包括：</w:t>
      </w:r>
    </w:p>
    <w:p w14:paraId="464D58F5">
      <w:pPr>
        <w:ind w:firstLine="640" w:firstLineChars="200"/>
        <w:jc w:val="left"/>
        <w:rPr>
          <w:rFonts w:ascii="仿宋_GB2312" w:eastAsia="仿宋_GB2312"/>
          <w:sz w:val="32"/>
          <w:szCs w:val="32"/>
        </w:rPr>
      </w:pPr>
      <w:r>
        <w:rPr>
          <w:rFonts w:hint="eastAsia" w:ascii="仿宋_GB2312" w:eastAsia="仿宋_GB2312"/>
          <w:sz w:val="32"/>
          <w:szCs w:val="32"/>
        </w:rPr>
        <w:t>1.沈阳市浑南区财政事务服务中心</w:t>
      </w:r>
    </w:p>
    <w:p w14:paraId="1C7ECD0B">
      <w:pPr>
        <w:rPr>
          <w:rFonts w:ascii="宋体" w:hAnsi="宋体"/>
          <w:b/>
          <w:sz w:val="36"/>
          <w:szCs w:val="36"/>
        </w:rPr>
      </w:pPr>
    </w:p>
    <w:p w14:paraId="37726857">
      <w:pPr>
        <w:keepNext w:val="0"/>
        <w:keepLines w:val="0"/>
        <w:pageBreakBefore/>
        <w:widowControl w:val="0"/>
        <w:numPr>
          <w:ilvl w:val="0"/>
          <w:numId w:val="1"/>
        </w:numPr>
        <w:kinsoku/>
        <w:wordWrap/>
        <w:overflowPunct/>
        <w:topLinePunct w:val="0"/>
        <w:autoSpaceDE/>
        <w:autoSpaceDN/>
        <w:bidi w:val="0"/>
        <w:adjustRightInd/>
        <w:snapToGrid/>
        <w:jc w:val="center"/>
        <w:textAlignment w:val="auto"/>
        <w:rPr>
          <w:rFonts w:ascii="宋体" w:hAnsi="宋体"/>
          <w:b/>
          <w:sz w:val="36"/>
          <w:szCs w:val="36"/>
        </w:rPr>
      </w:pPr>
      <w:r>
        <w:rPr>
          <w:rFonts w:hint="eastAsia" w:ascii="宋体" w:hAnsi="宋体"/>
          <w:b/>
          <w:sz w:val="36"/>
          <w:szCs w:val="36"/>
        </w:rPr>
        <w:t>沈阳市浑南区财政事务服务中心年部门预算公开表</w:t>
      </w:r>
    </w:p>
    <w:p w14:paraId="316B3678">
      <w:pPr>
        <w:rPr>
          <w:rFonts w:ascii="宋体" w:hAnsi="宋体"/>
          <w:b/>
          <w:sz w:val="36"/>
          <w:szCs w:val="36"/>
        </w:rPr>
      </w:pPr>
    </w:p>
    <w:p w14:paraId="7D512092">
      <w:pPr>
        <w:rPr>
          <w:rFonts w:ascii="宋体" w:hAnsi="宋体"/>
          <w:b/>
          <w:sz w:val="36"/>
          <w:szCs w:val="36"/>
        </w:rPr>
      </w:pPr>
    </w:p>
    <w:p w14:paraId="19741590">
      <w:pPr>
        <w:rPr>
          <w:rFonts w:ascii="宋体" w:hAnsi="宋体"/>
          <w:b/>
          <w:sz w:val="36"/>
          <w:szCs w:val="36"/>
        </w:rPr>
      </w:pPr>
    </w:p>
    <w:p w14:paraId="47612251">
      <w:pPr>
        <w:rPr>
          <w:rFonts w:ascii="宋体" w:hAnsi="宋体"/>
          <w:b/>
          <w:sz w:val="36"/>
          <w:szCs w:val="36"/>
        </w:rPr>
      </w:pPr>
    </w:p>
    <w:p w14:paraId="797D286D">
      <w:pPr>
        <w:rPr>
          <w:rFonts w:ascii="宋体" w:hAnsi="宋体"/>
          <w:b/>
          <w:sz w:val="36"/>
          <w:szCs w:val="36"/>
        </w:rPr>
      </w:pPr>
    </w:p>
    <w:p w14:paraId="623D3C3E">
      <w:pPr>
        <w:rPr>
          <w:rFonts w:ascii="宋体" w:hAnsi="宋体"/>
          <w:b/>
          <w:sz w:val="36"/>
          <w:szCs w:val="36"/>
        </w:rPr>
      </w:pPr>
    </w:p>
    <w:p w14:paraId="08CA99AD">
      <w:pPr>
        <w:rPr>
          <w:rFonts w:ascii="宋体" w:hAnsi="宋体"/>
          <w:b/>
          <w:sz w:val="36"/>
          <w:szCs w:val="36"/>
        </w:rPr>
      </w:pPr>
    </w:p>
    <w:p w14:paraId="31EC98FA">
      <w:pPr>
        <w:rPr>
          <w:rFonts w:ascii="宋体" w:hAnsi="宋体"/>
          <w:b/>
          <w:sz w:val="36"/>
          <w:szCs w:val="36"/>
        </w:rPr>
      </w:pPr>
    </w:p>
    <w:p w14:paraId="379A4864">
      <w:pPr>
        <w:rPr>
          <w:rFonts w:ascii="宋体" w:hAnsi="宋体"/>
          <w:b/>
          <w:sz w:val="36"/>
          <w:szCs w:val="36"/>
        </w:rPr>
      </w:pPr>
    </w:p>
    <w:p w14:paraId="657A527E">
      <w:pPr>
        <w:rPr>
          <w:rFonts w:ascii="宋体" w:hAnsi="宋体"/>
          <w:b/>
          <w:sz w:val="36"/>
          <w:szCs w:val="36"/>
        </w:rPr>
      </w:pPr>
    </w:p>
    <w:p w14:paraId="48656CB6">
      <w:pPr>
        <w:rPr>
          <w:rFonts w:ascii="宋体" w:hAnsi="宋体"/>
          <w:b/>
          <w:sz w:val="36"/>
          <w:szCs w:val="36"/>
        </w:rPr>
      </w:pPr>
    </w:p>
    <w:p w14:paraId="6DE2C754">
      <w:pPr>
        <w:rPr>
          <w:rFonts w:ascii="宋体" w:hAnsi="宋体"/>
          <w:b/>
          <w:sz w:val="36"/>
          <w:szCs w:val="36"/>
        </w:rPr>
      </w:pPr>
    </w:p>
    <w:p w14:paraId="2F0D5D35">
      <w:pPr>
        <w:pStyle w:val="2"/>
        <w:keepNext w:val="0"/>
        <w:keepLines w:val="0"/>
        <w:pageBreakBefore/>
        <w:widowControl w:val="0"/>
        <w:kinsoku/>
        <w:wordWrap/>
        <w:overflowPunct/>
        <w:topLinePunct w:val="0"/>
        <w:autoSpaceDE/>
        <w:autoSpaceDN/>
        <w:bidi w:val="0"/>
        <w:adjustRightInd/>
        <w:snapToGrid/>
        <w:spacing w:line="600" w:lineRule="exact"/>
        <w:ind w:firstLine="0"/>
        <w:jc w:val="center"/>
        <w:textAlignment w:val="auto"/>
        <w:rPr>
          <w:rFonts w:ascii="宋体" w:hAnsi="宋体" w:eastAsia="宋体"/>
          <w:b/>
          <w:sz w:val="36"/>
          <w:szCs w:val="36"/>
        </w:rPr>
      </w:pPr>
      <w:r>
        <w:rPr>
          <w:rFonts w:hint="eastAsia" w:ascii="宋体" w:hAnsi="宋体" w:eastAsia="宋体"/>
          <w:b/>
          <w:sz w:val="36"/>
          <w:szCs w:val="36"/>
        </w:rPr>
        <w:t>第三部分 浑南区财政事务服务中心2020年部门预算情况说明</w:t>
      </w:r>
    </w:p>
    <w:p w14:paraId="358151EE">
      <w:pPr>
        <w:pStyle w:val="2"/>
        <w:spacing w:line="600" w:lineRule="exact"/>
        <w:ind w:left="525" w:firstLine="0"/>
        <w:rPr>
          <w:rFonts w:ascii="宋体" w:hAnsi="宋体" w:eastAsia="宋体"/>
          <w:b/>
          <w:sz w:val="36"/>
          <w:szCs w:val="36"/>
        </w:rPr>
      </w:pPr>
    </w:p>
    <w:p w14:paraId="510AB755">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一、关于浑南区财政事务服务中心2020年收支预算的总体说明</w:t>
      </w:r>
    </w:p>
    <w:p w14:paraId="3066D258">
      <w:pPr>
        <w:ind w:firstLine="660"/>
        <w:rPr>
          <w:rFonts w:ascii="仿宋_GB2312" w:hAnsi="宋体" w:eastAsia="仿宋_GB2312"/>
          <w:sz w:val="32"/>
          <w:szCs w:val="32"/>
        </w:rPr>
      </w:pPr>
      <w:r>
        <w:rPr>
          <w:rFonts w:hint="eastAsia" w:ascii="仿宋_GB2312" w:eastAsia="仿宋_GB2312"/>
          <w:sz w:val="32"/>
          <w:szCs w:val="32"/>
        </w:rPr>
        <w:t>按照综合预算的原则，浑南区财政事务服务中心所有收入和支出均纳入部门预算管理。收入包括：财政拨款收入；支出包括：事业运行、基本养老金、事业单位医疗、住房公积金等。浑南区财政事务服务中心2020年收支总预算1973.10万元，比2019收支总预算</w:t>
      </w:r>
      <w:r>
        <w:rPr>
          <w:rFonts w:hint="eastAsia" w:ascii="仿宋_GB2312" w:hAnsi="宋体" w:eastAsia="仿宋_GB2312"/>
          <w:sz w:val="32"/>
          <w:szCs w:val="32"/>
        </w:rPr>
        <w:t>1655.48万元增加317.62万元。主要由于人员经费有所增加。</w:t>
      </w:r>
    </w:p>
    <w:p w14:paraId="7514AFDC">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二、关于浑南区财政事务服务中心2020年“三公”经费预算情况说明</w:t>
      </w:r>
    </w:p>
    <w:p w14:paraId="49BF5500">
      <w:pPr>
        <w:pStyle w:val="2"/>
        <w:spacing w:line="600" w:lineRule="exact"/>
        <w:ind w:firstLine="660"/>
        <w:rPr>
          <w:szCs w:val="32"/>
        </w:rPr>
      </w:pPr>
      <w:r>
        <w:rPr>
          <w:rFonts w:hint="eastAsia"/>
          <w:szCs w:val="32"/>
        </w:rPr>
        <w:t>2020年“三公”经费预算安排数0万元，其中：因公出国（境）费0万元；公务接待费0万元；公务用车购置及运行费0万元。</w:t>
      </w:r>
      <w:r>
        <w:rPr>
          <w:rFonts w:hint="eastAsia" w:hAnsi="宋体"/>
          <w:szCs w:val="32"/>
        </w:rPr>
        <w:t>2020年预算数比2019年预算数减少0.37万元，其中：公务接待费比2019年预算数减少0.3</w:t>
      </w:r>
      <w:r>
        <w:rPr>
          <w:rFonts w:hint="eastAsia" w:hAnsi="宋体"/>
          <w:szCs w:val="32"/>
          <w:lang w:val="en-US" w:eastAsia="zh-CN"/>
        </w:rPr>
        <w:t>7</w:t>
      </w:r>
      <w:r>
        <w:rPr>
          <w:rFonts w:hint="eastAsia" w:hAnsi="宋体"/>
          <w:szCs w:val="32"/>
        </w:rPr>
        <w:t>万元，主要由于</w:t>
      </w:r>
      <w:r>
        <w:rPr>
          <w:rFonts w:hint="eastAsia"/>
          <w:szCs w:val="32"/>
        </w:rPr>
        <w:t>浑南区财政事务服务中心将按照中央及省委、省政府关于厉行节约、改进工作作风、密切联系群众</w:t>
      </w:r>
      <w:r>
        <w:rPr>
          <w:rFonts w:hint="eastAsia"/>
          <w:szCs w:val="32"/>
          <w:lang w:eastAsia="zh-CN"/>
        </w:rPr>
        <w:t>中央八项规定</w:t>
      </w:r>
      <w:r>
        <w:rPr>
          <w:rFonts w:hint="eastAsia"/>
          <w:szCs w:val="32"/>
        </w:rPr>
        <w:t>等有关要求，严格控制“三公”经费支出，压缩公务接待费。</w:t>
      </w:r>
    </w:p>
    <w:p w14:paraId="5E006B00">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14:paraId="4522C56D">
      <w:pPr>
        <w:numPr>
          <w:ilvl w:val="0"/>
          <w:numId w:val="3"/>
        </w:numPr>
        <w:rPr>
          <w:rFonts w:ascii="楷体_GB2312" w:hAnsi="宋体" w:eastAsia="楷体_GB2312"/>
          <w:sz w:val="32"/>
        </w:rPr>
      </w:pPr>
      <w:r>
        <w:rPr>
          <w:rFonts w:hint="eastAsia" w:ascii="楷体_GB2312" w:hAnsi="宋体" w:eastAsia="楷体_GB2312"/>
          <w:sz w:val="32"/>
        </w:rPr>
        <w:t>公用经费安排情况。</w:t>
      </w:r>
    </w:p>
    <w:p w14:paraId="48B8BCC9">
      <w:pPr>
        <w:ind w:firstLine="645"/>
        <w:rPr>
          <w:rFonts w:ascii="仿宋_GB2312" w:hAnsi="宋体" w:eastAsia="仿宋_GB2312"/>
          <w:sz w:val="32"/>
          <w:szCs w:val="32"/>
        </w:rPr>
      </w:pPr>
      <w:r>
        <w:rPr>
          <w:rFonts w:hint="eastAsia" w:ascii="仿宋_GB2312" w:hAnsi="宋体" w:eastAsia="仿宋_GB2312"/>
          <w:sz w:val="32"/>
          <w:szCs w:val="32"/>
        </w:rPr>
        <w:t>2020年浑南区财政事务服务中心事业</w:t>
      </w:r>
      <w:r>
        <w:rPr>
          <w:rFonts w:ascii="仿宋_GB2312" w:hAnsi="宋体" w:eastAsia="仿宋_GB2312"/>
          <w:sz w:val="32"/>
          <w:szCs w:val="32"/>
        </w:rPr>
        <w:t>运行经费</w:t>
      </w:r>
      <w:r>
        <w:rPr>
          <w:rFonts w:hint="eastAsia" w:ascii="仿宋_GB2312" w:hAnsi="宋体" w:eastAsia="仿宋_GB2312"/>
          <w:sz w:val="32"/>
          <w:szCs w:val="32"/>
        </w:rPr>
        <w:t>1778.78万元</w:t>
      </w:r>
      <w:r>
        <w:rPr>
          <w:rFonts w:ascii="仿宋_GB2312" w:hAnsi="宋体" w:eastAsia="仿宋_GB2312"/>
          <w:sz w:val="32"/>
          <w:szCs w:val="32"/>
        </w:rPr>
        <w:t>，相比</w:t>
      </w:r>
      <w:r>
        <w:rPr>
          <w:rFonts w:hint="eastAsia" w:ascii="仿宋_GB2312" w:hAnsi="宋体" w:eastAsia="仿宋_GB2312"/>
          <w:sz w:val="32"/>
          <w:szCs w:val="32"/>
        </w:rPr>
        <w:t>2019年1973.10万元减少了194.32万元。同比减少10%。</w:t>
      </w:r>
    </w:p>
    <w:p w14:paraId="6CFBDF82">
      <w:pPr>
        <w:ind w:firstLine="645"/>
        <w:rPr>
          <w:rFonts w:ascii="仿宋_GB2312" w:hAnsi="宋体" w:eastAsia="仿宋_GB2312"/>
          <w:sz w:val="32"/>
        </w:rPr>
      </w:pPr>
      <w:r>
        <w:rPr>
          <w:rFonts w:hint="eastAsia" w:ascii="楷体_GB2312" w:hAnsi="宋体" w:eastAsia="楷体_GB2312"/>
          <w:sz w:val="32"/>
        </w:rPr>
        <w:t>（二）政府采购预算安排情况。</w:t>
      </w:r>
    </w:p>
    <w:p w14:paraId="3F870244">
      <w:pPr>
        <w:ind w:firstLine="645"/>
        <w:rPr>
          <w:rFonts w:ascii="仿宋_GB2312" w:hAnsi="宋体" w:eastAsia="仿宋_GB2312"/>
          <w:sz w:val="32"/>
        </w:rPr>
      </w:pPr>
      <w:r>
        <w:rPr>
          <w:rFonts w:hint="eastAsia" w:ascii="仿宋_GB2312" w:hAnsi="宋体" w:eastAsia="仿宋_GB2312"/>
          <w:sz w:val="32"/>
        </w:rPr>
        <w:t>2020年沈阳市浑南区财政事务服务中心无政府采购预算。</w:t>
      </w:r>
    </w:p>
    <w:p w14:paraId="089CE14A">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4AAFFEFE">
      <w:pPr>
        <w:ind w:firstLine="645"/>
        <w:rPr>
          <w:rFonts w:hint="eastAsia" w:ascii="仿宋_GB2312" w:hAnsi="宋体" w:eastAsia="仿宋_GB2312"/>
          <w:sz w:val="32"/>
          <w:szCs w:val="32"/>
        </w:rPr>
      </w:pPr>
      <w:r>
        <w:rPr>
          <w:rFonts w:hint="eastAsia" w:ascii="仿宋_GB2312" w:hAnsi="宋体" w:eastAsia="仿宋_GB2312"/>
          <w:sz w:val="32"/>
          <w:szCs w:val="32"/>
        </w:rPr>
        <w:t>截至2019年底，沈阳市浑南区财政事务服务中心共有车辆0辆。单位价值100 万元以上大型设备0台。</w:t>
      </w:r>
    </w:p>
    <w:p w14:paraId="2FC65849">
      <w:pPr>
        <w:ind w:firstLine="645"/>
        <w:rPr>
          <w:rFonts w:ascii="仿宋_GB2312" w:hAnsi="宋体" w:eastAsia="仿宋_GB2312"/>
          <w:sz w:val="32"/>
          <w:szCs w:val="32"/>
        </w:rPr>
      </w:pPr>
      <w:r>
        <w:rPr>
          <w:rFonts w:hint="eastAsia" w:ascii="仿宋_GB2312" w:hAnsi="宋体" w:eastAsia="仿宋_GB2312"/>
          <w:sz w:val="32"/>
          <w:szCs w:val="32"/>
        </w:rPr>
        <w:t>2020年部门预算没有安排车辆及价值100 万元以上大型设备购置。</w:t>
      </w:r>
    </w:p>
    <w:p w14:paraId="09993A35">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0B56A0A2">
      <w:pPr>
        <w:ind w:firstLine="645"/>
        <w:rPr>
          <w:rFonts w:ascii="仿宋_GB2312" w:hAnsi="宋体" w:eastAsia="仿宋_GB2312"/>
          <w:sz w:val="32"/>
          <w:szCs w:val="32"/>
        </w:rPr>
      </w:pPr>
      <w:r>
        <w:rPr>
          <w:rFonts w:hint="eastAsia" w:ascii="仿宋_GB2312" w:hAnsi="宋体" w:eastAsia="仿宋_GB2312"/>
          <w:sz w:val="32"/>
          <w:szCs w:val="32"/>
        </w:rPr>
        <w:t>2020年浑南区财政事务服务中心部门预算项目均实行绩效目标管理，涉及资金194.32万元。</w:t>
      </w:r>
    </w:p>
    <w:p w14:paraId="42BEF04B">
      <w:pPr>
        <w:ind w:firstLine="645"/>
        <w:rPr>
          <w:rFonts w:ascii="仿宋_GB2312" w:hAnsi="宋体" w:eastAsia="仿宋_GB2312"/>
          <w:sz w:val="32"/>
        </w:rPr>
      </w:pPr>
    </w:p>
    <w:p w14:paraId="6068B03F">
      <w:pPr>
        <w:ind w:firstLine="645"/>
        <w:rPr>
          <w:rFonts w:ascii="仿宋_GB2312" w:hAnsi="宋体" w:eastAsia="仿宋_GB2312"/>
          <w:sz w:val="32"/>
        </w:rPr>
      </w:pPr>
    </w:p>
    <w:p w14:paraId="2FD57CB6">
      <w:pPr>
        <w:pStyle w:val="2"/>
        <w:spacing w:line="600" w:lineRule="exact"/>
        <w:ind w:firstLine="708" w:firstLineChars="196"/>
        <w:rPr>
          <w:rFonts w:ascii="宋体" w:hAnsi="宋体" w:eastAsia="宋体"/>
          <w:b/>
          <w:sz w:val="36"/>
          <w:szCs w:val="36"/>
        </w:rPr>
      </w:pPr>
    </w:p>
    <w:p w14:paraId="6CC21ADC">
      <w:pPr>
        <w:pStyle w:val="2"/>
        <w:spacing w:line="600" w:lineRule="exact"/>
        <w:ind w:firstLine="0"/>
        <w:jc w:val="center"/>
        <w:rPr>
          <w:rFonts w:ascii="宋体" w:hAnsi="宋体" w:eastAsia="宋体"/>
          <w:b/>
          <w:sz w:val="36"/>
          <w:szCs w:val="36"/>
        </w:rPr>
      </w:pPr>
    </w:p>
    <w:p w14:paraId="3112FD3F">
      <w:pPr>
        <w:pStyle w:val="2"/>
        <w:spacing w:line="600" w:lineRule="exact"/>
        <w:ind w:firstLine="0"/>
        <w:jc w:val="center"/>
        <w:rPr>
          <w:rFonts w:ascii="宋体" w:hAnsi="宋体" w:eastAsia="宋体"/>
          <w:b/>
          <w:sz w:val="36"/>
          <w:szCs w:val="36"/>
        </w:rPr>
      </w:pPr>
    </w:p>
    <w:p w14:paraId="5A26DF83">
      <w:pPr>
        <w:pStyle w:val="2"/>
        <w:spacing w:line="600" w:lineRule="exact"/>
        <w:ind w:firstLine="0"/>
        <w:jc w:val="center"/>
        <w:rPr>
          <w:rFonts w:ascii="宋体" w:hAnsi="宋体" w:eastAsia="宋体"/>
          <w:b/>
          <w:sz w:val="36"/>
          <w:szCs w:val="36"/>
        </w:rPr>
      </w:pPr>
    </w:p>
    <w:p w14:paraId="6C1D44D7">
      <w:pPr>
        <w:pStyle w:val="2"/>
        <w:spacing w:line="600" w:lineRule="exact"/>
        <w:ind w:firstLine="0"/>
        <w:jc w:val="center"/>
        <w:rPr>
          <w:rFonts w:ascii="宋体" w:hAnsi="宋体" w:eastAsia="宋体"/>
          <w:b/>
          <w:sz w:val="36"/>
          <w:szCs w:val="36"/>
        </w:rPr>
      </w:pPr>
    </w:p>
    <w:p w14:paraId="46B159B3">
      <w:pPr>
        <w:pStyle w:val="2"/>
        <w:spacing w:line="600" w:lineRule="exact"/>
        <w:ind w:firstLine="0"/>
        <w:jc w:val="center"/>
        <w:rPr>
          <w:rFonts w:ascii="宋体" w:hAnsi="宋体" w:eastAsia="宋体"/>
          <w:b/>
          <w:sz w:val="36"/>
          <w:szCs w:val="36"/>
        </w:rPr>
      </w:pPr>
    </w:p>
    <w:p w14:paraId="50617A25">
      <w:pPr>
        <w:pStyle w:val="2"/>
        <w:spacing w:line="600" w:lineRule="exact"/>
        <w:ind w:firstLine="0"/>
        <w:jc w:val="center"/>
        <w:rPr>
          <w:rFonts w:ascii="宋体" w:hAnsi="宋体" w:eastAsia="宋体"/>
          <w:b/>
          <w:sz w:val="36"/>
          <w:szCs w:val="36"/>
        </w:rPr>
      </w:pPr>
    </w:p>
    <w:p w14:paraId="55C80DBF">
      <w:pPr>
        <w:pStyle w:val="2"/>
        <w:spacing w:line="600" w:lineRule="exact"/>
        <w:ind w:firstLine="0"/>
        <w:jc w:val="center"/>
        <w:rPr>
          <w:rFonts w:ascii="宋体" w:hAnsi="宋体" w:eastAsia="宋体"/>
          <w:b/>
          <w:sz w:val="36"/>
          <w:szCs w:val="36"/>
        </w:rPr>
      </w:pPr>
    </w:p>
    <w:p w14:paraId="577B1E7D">
      <w:pPr>
        <w:pStyle w:val="2"/>
        <w:spacing w:line="600" w:lineRule="exact"/>
        <w:ind w:firstLine="0"/>
        <w:jc w:val="center"/>
        <w:rPr>
          <w:rFonts w:ascii="宋体" w:hAnsi="宋体" w:eastAsia="宋体"/>
          <w:b/>
          <w:sz w:val="36"/>
          <w:szCs w:val="36"/>
        </w:rPr>
      </w:pPr>
      <w:r>
        <w:rPr>
          <w:rFonts w:hint="eastAsia" w:ascii="宋体" w:hAnsi="宋体" w:eastAsia="宋体"/>
          <w:b/>
          <w:sz w:val="36"/>
          <w:szCs w:val="36"/>
        </w:rPr>
        <w:t>第四部分 名词解释</w:t>
      </w:r>
    </w:p>
    <w:p w14:paraId="4A7652EC">
      <w:pPr>
        <w:pStyle w:val="2"/>
        <w:spacing w:line="600" w:lineRule="exact"/>
        <w:ind w:firstLine="660"/>
        <w:rPr>
          <w:szCs w:val="32"/>
        </w:rPr>
      </w:pPr>
    </w:p>
    <w:p w14:paraId="590F36F2">
      <w:pPr>
        <w:pStyle w:val="2"/>
        <w:spacing w:line="600" w:lineRule="exact"/>
        <w:ind w:left="525" w:leftChars="250" w:firstLine="640" w:firstLineChars="200"/>
        <w:rPr>
          <w:szCs w:val="32"/>
        </w:rPr>
      </w:pPr>
      <w:r>
        <w:rPr>
          <w:rFonts w:hint="eastAsia"/>
          <w:szCs w:val="32"/>
        </w:rPr>
        <w:t>1.财政拨款收入：指区级财政当年拨付的资金。</w:t>
      </w:r>
    </w:p>
    <w:p w14:paraId="0198494D">
      <w:pPr>
        <w:pStyle w:val="2"/>
        <w:spacing w:line="600" w:lineRule="exact"/>
        <w:ind w:left="525" w:leftChars="250" w:firstLine="640" w:firstLineChars="200"/>
        <w:rPr>
          <w:szCs w:val="32"/>
        </w:rPr>
      </w:pPr>
      <w:r>
        <w:rPr>
          <w:rFonts w:hint="eastAsia"/>
          <w:szCs w:val="32"/>
        </w:rPr>
        <w:t>2.上级补助收入：指事业单位从主管部门和上级单位取得的非财政补助收入。</w:t>
      </w:r>
    </w:p>
    <w:p w14:paraId="6BD73BC7">
      <w:pPr>
        <w:pStyle w:val="2"/>
        <w:spacing w:line="600" w:lineRule="exact"/>
        <w:ind w:left="525" w:firstLine="645"/>
        <w:rPr>
          <w:szCs w:val="32"/>
        </w:rPr>
      </w:pPr>
      <w:r>
        <w:rPr>
          <w:rFonts w:hint="eastAsia"/>
          <w:szCs w:val="32"/>
        </w:rPr>
        <w:t>3.基本支出：指保障机构正常运转、完成日常工作任务而发生的人员支出和公用支出。</w:t>
      </w:r>
    </w:p>
    <w:p w14:paraId="08B658C1">
      <w:pPr>
        <w:pStyle w:val="2"/>
        <w:spacing w:line="600" w:lineRule="exact"/>
        <w:ind w:left="525" w:firstLine="645"/>
        <w:rPr>
          <w:szCs w:val="32"/>
        </w:rPr>
      </w:pPr>
      <w:r>
        <w:rPr>
          <w:rFonts w:hint="eastAsia"/>
          <w:szCs w:val="32"/>
        </w:rPr>
        <w:t>4.项目支出：指在基本支出之外为完成特定行政任务和事业发展目标所发生的支出。</w:t>
      </w:r>
    </w:p>
    <w:p w14:paraId="222A27DA">
      <w:pPr>
        <w:pStyle w:val="2"/>
        <w:spacing w:line="600" w:lineRule="exact"/>
        <w:ind w:left="525" w:firstLine="645"/>
        <w:rPr>
          <w:szCs w:val="32"/>
        </w:rPr>
      </w:pPr>
      <w:r>
        <w:rPr>
          <w:rFonts w:hint="eastAsia"/>
          <w:szCs w:val="32"/>
        </w:rPr>
        <w:t>5.“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72E79B3B">
      <w:pPr>
        <w:pStyle w:val="2"/>
        <w:spacing w:line="600" w:lineRule="exact"/>
        <w:ind w:left="525" w:firstLine="645"/>
        <w:rPr>
          <w:szCs w:val="32"/>
        </w:rPr>
      </w:pPr>
      <w:r>
        <w:rPr>
          <w:rFonts w:hint="eastAsia"/>
          <w:szCs w:val="32"/>
        </w:rPr>
        <w:t>6.金融支出（类）金融部门行政支出（款）事业运行（项）：反映事业单位基本支出，不包括行政单位（包括实行公务员管理的事业单位）后勤服务中心、医务室等附属事业单位。</w:t>
      </w:r>
    </w:p>
    <w:p w14:paraId="586EE951">
      <w:pPr>
        <w:pStyle w:val="2"/>
        <w:spacing w:line="600" w:lineRule="exact"/>
        <w:ind w:left="525" w:firstLine="645"/>
        <w:rPr>
          <w:szCs w:val="32"/>
        </w:rPr>
      </w:pPr>
      <w:r>
        <w:rPr>
          <w:rFonts w:hint="eastAsia"/>
          <w:szCs w:val="32"/>
        </w:rPr>
        <w:t>7.社会保险基金支出（类）基本养老保险基金支出（款）基本养老金（项）反映行政事业单位按人力资源和社会保障、财政部规定的基本工资和津贴以及比例为职工缴纳的养老保险。</w:t>
      </w:r>
    </w:p>
    <w:p w14:paraId="706712F5">
      <w:pPr>
        <w:pStyle w:val="2"/>
        <w:spacing w:line="600" w:lineRule="exact"/>
        <w:ind w:left="525" w:firstLine="645"/>
        <w:rPr>
          <w:szCs w:val="32"/>
        </w:rPr>
      </w:pPr>
      <w:r>
        <w:rPr>
          <w:rFonts w:hint="eastAsia"/>
          <w:szCs w:val="32"/>
        </w:rPr>
        <w:t>8. 医疗卫生与计划生育（类）医疗保障（款）事业单位医疗（项）：反映财政部门安排的事业单位基本医疗保险缴费经费，未参加医疗保险的事业单位的公费医疗经费，按国家规定享受离休人员待遇的医疗经费。</w:t>
      </w:r>
    </w:p>
    <w:p w14:paraId="5683C242">
      <w:pPr>
        <w:pStyle w:val="2"/>
        <w:spacing w:line="600" w:lineRule="exact"/>
        <w:ind w:left="525" w:firstLine="645"/>
        <w:rPr>
          <w:b/>
          <w:sz w:val="36"/>
          <w:szCs w:val="36"/>
        </w:rPr>
      </w:pPr>
      <w:r>
        <w:rPr>
          <w:rFonts w:hint="eastAsia"/>
          <w:szCs w:val="32"/>
        </w:rPr>
        <w:t>9.住房保障（类）住房改革（款）住房公积金（项）：反映行政事业单位按人力资源和社会保障、财政部规定的基本工资和津贴补贴以及规定比例为职工缴纳的住房公积金。</w:t>
      </w:r>
    </w:p>
    <w:p w14:paraId="67046F2F">
      <w:r>
        <w:rPr>
          <w:rFonts w:hint="eastAsia"/>
        </w:rPr>
        <w:t xml:space="preserve">  </w:t>
      </w:r>
    </w:p>
    <w:p w14:paraId="0CF8BA4A">
      <w:pPr>
        <w:pStyle w:val="2"/>
        <w:spacing w:line="600" w:lineRule="exact"/>
        <w:ind w:firstLine="0"/>
        <w:rPr>
          <w:szCs w:val="32"/>
        </w:rPr>
      </w:pPr>
    </w:p>
    <w:p w14:paraId="634F173D"/>
    <w:p w14:paraId="4A246A3D">
      <w:pPr>
        <w:rPr>
          <w:rFonts w:ascii="仿宋_GB2312" w:eastAsia="仿宋_GB2312"/>
          <w:b/>
          <w:sz w:val="32"/>
          <w:szCs w:val="32"/>
        </w:rPr>
      </w:pPr>
    </w:p>
    <w:p w14:paraId="7FAC0349"/>
    <w:p w14:paraId="26002EBE"/>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17822">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7</w:t>
    </w:r>
    <w:r>
      <w:fldChar w:fldCharType="end"/>
    </w:r>
  </w:p>
  <w:p w14:paraId="69B3342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90257">
    <w:pPr>
      <w:pStyle w:val="3"/>
      <w:framePr w:wrap="around" w:vAnchor="text" w:hAnchor="margin" w:xAlign="center" w:y="1"/>
      <w:rPr>
        <w:rStyle w:val="7"/>
      </w:rPr>
    </w:pPr>
    <w:r>
      <w:fldChar w:fldCharType="begin"/>
    </w:r>
    <w:r>
      <w:rPr>
        <w:rStyle w:val="7"/>
      </w:rPr>
      <w:instrText xml:space="preserve">PAGE  </w:instrText>
    </w:r>
    <w:r>
      <w:fldChar w:fldCharType="end"/>
    </w:r>
  </w:p>
  <w:p w14:paraId="6059232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8DF9B176"/>
    <w:multiLevelType w:val="singleLevel"/>
    <w:tmpl w:val="8DF9B176"/>
    <w:lvl w:ilvl="0" w:tentative="0">
      <w:start w:val="1"/>
      <w:numFmt w:val="chineseCounting"/>
      <w:suff w:val="nothing"/>
      <w:lvlText w:val="（%1）"/>
      <w:lvlJc w:val="left"/>
      <w:pPr>
        <w:ind w:left="640" w:firstLine="0"/>
      </w:pPr>
      <w:rPr>
        <w:rFonts w:hint="eastAsia"/>
      </w:rPr>
    </w:lvl>
  </w:abstractNum>
  <w:abstractNum w:abstractNumId="2">
    <w:nsid w:val="F5F98F45"/>
    <w:multiLevelType w:val="singleLevel"/>
    <w:tmpl w:val="F5F98F45"/>
    <w:lvl w:ilvl="0" w:tentative="0">
      <w:start w:val="2"/>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ZiZTQ3ZmI1OTFmODUzNzgwMGRlNDBmMWZiZDQzMjEifQ=="/>
  </w:docVars>
  <w:rsids>
    <w:rsidRoot w:val="00213578"/>
    <w:rsid w:val="00070145"/>
    <w:rsid w:val="00122F02"/>
    <w:rsid w:val="00173855"/>
    <w:rsid w:val="00201735"/>
    <w:rsid w:val="00213578"/>
    <w:rsid w:val="003C19A6"/>
    <w:rsid w:val="004138CD"/>
    <w:rsid w:val="004B555B"/>
    <w:rsid w:val="004C4B19"/>
    <w:rsid w:val="007016AC"/>
    <w:rsid w:val="00802FB8"/>
    <w:rsid w:val="008172FB"/>
    <w:rsid w:val="008F0A63"/>
    <w:rsid w:val="00B712CA"/>
    <w:rsid w:val="00BE0FB4"/>
    <w:rsid w:val="00DB4F50"/>
    <w:rsid w:val="00EB2145"/>
    <w:rsid w:val="00F349A7"/>
    <w:rsid w:val="00F50631"/>
    <w:rsid w:val="00F90514"/>
    <w:rsid w:val="00FE33DC"/>
    <w:rsid w:val="00FF78E3"/>
    <w:rsid w:val="03B704A9"/>
    <w:rsid w:val="09AB2EC0"/>
    <w:rsid w:val="0EB669F8"/>
    <w:rsid w:val="0F9870A4"/>
    <w:rsid w:val="2B2E7DAC"/>
    <w:rsid w:val="2D423FA9"/>
    <w:rsid w:val="32470985"/>
    <w:rsid w:val="366209D0"/>
    <w:rsid w:val="3F1C6D64"/>
    <w:rsid w:val="4FF4795C"/>
    <w:rsid w:val="537B5E34"/>
    <w:rsid w:val="575B4C6F"/>
    <w:rsid w:val="5BA66AED"/>
    <w:rsid w:val="6486350C"/>
    <w:rsid w:val="74D92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540" w:lineRule="exact"/>
      <w:ind w:firstLine="525"/>
    </w:pPr>
    <w:rPr>
      <w:rFonts w:ascii="仿宋_GB2312" w:eastAsia="仿宋_GB2312"/>
      <w:sz w:val="32"/>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正文文本缩进 Char"/>
    <w:basedOn w:val="6"/>
    <w:link w:val="2"/>
    <w:qFormat/>
    <w:uiPriority w:val="0"/>
    <w:rPr>
      <w:rFonts w:ascii="仿宋_GB2312" w:hAnsi="Times New Roman" w:eastAsia="仿宋_GB2312" w:cs="Times New Roman"/>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11</Pages>
  <Words>2634</Words>
  <Characters>2761</Characters>
  <Lines>19</Lines>
  <Paragraphs>5</Paragraphs>
  <TotalTime>250</TotalTime>
  <ScaleCrop>false</ScaleCrop>
  <LinksUpToDate>false</LinksUpToDate>
  <CharactersWithSpaces>2781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2019-01-28T02:39:00Z</dcterms:created>
  <dc:creator>SDWM</dc:creator>
  <cp:lastModifiedBy>杨洋</cp:lastModifiedBy>
  <cp:lastPrinted>2019-01-28T06:49:00Z</cp:lastPrinted>
  <dcterms:modified xsi:type="dcterms:W3CDTF">2025-09-24T02:57:18Z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3EA5AF0805274FD7BD435626465EC5C4</vt:lpwstr>
  </property>
  <property fmtid="{D5CDD505-2E9C-101B-9397-08002B2CF9AE}" pid="4" name="KSOTemplateDocerSaveRecord">
    <vt:lpwstr>eyJoZGlkIjoiNzZiZTQ3ZmI1OTFmODUzNzgwMGRlNDBmMWZiZDQzMjEiLCJ1c2VySWQiOiIyMzQ0MjI2NjQifQ==</vt:lpwstr>
  </property>
</Properties>
</file>